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rFonts w:ascii="黑体" w:hAnsi="黑体" w:eastAsia="黑体" w:cs="黑体"/>
          <w:sz w:val="32"/>
          <w:szCs w:val="32"/>
        </w:rPr>
      </w:pPr>
      <w:r>
        <w:rPr>
          <w:rFonts w:hint="eastAsia" w:ascii="黑体" w:hAnsi="黑体" w:eastAsia="黑体" w:cs="黑体"/>
          <w:sz w:val="32"/>
          <w:szCs w:val="32"/>
        </w:rPr>
        <w:t>附件1</w:t>
      </w:r>
    </w:p>
    <w:p>
      <w:pPr>
        <w:jc w:val="center"/>
        <w:rPr>
          <w:rFonts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全国优秀农民工报审表</w:t>
      </w:r>
    </w:p>
    <w:tbl>
      <w:tblPr>
        <w:tblStyle w:val="7"/>
        <w:tblW w:w="9733" w:type="dxa"/>
        <w:tblInd w:w="-1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06"/>
        <w:gridCol w:w="1266"/>
        <w:gridCol w:w="1494"/>
        <w:gridCol w:w="999"/>
        <w:gridCol w:w="1507"/>
        <w:gridCol w:w="1208"/>
        <w:gridCol w:w="17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1506" w:type="dxa"/>
            <w:vAlign w:val="center"/>
          </w:tcPr>
          <w:p>
            <w:pPr>
              <w:pStyle w:val="2"/>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姓  名</w:t>
            </w:r>
          </w:p>
        </w:tc>
        <w:tc>
          <w:tcPr>
            <w:tcW w:w="1266" w:type="dxa"/>
            <w:vAlign w:val="center"/>
          </w:tcPr>
          <w:p>
            <w:pPr>
              <w:pStyle w:val="2"/>
              <w:jc w:val="center"/>
              <w:rPr>
                <w:rFonts w:ascii="仿宋_GB2312" w:hAnsi="仿宋_GB2312" w:eastAsia="仿宋_GB2312" w:cs="仿宋_GB2312"/>
                <w:sz w:val="30"/>
                <w:szCs w:val="30"/>
              </w:rPr>
            </w:pPr>
            <w:r>
              <w:rPr>
                <w:rFonts w:ascii="仿宋_GB2312" w:hAnsi="仿宋_GB2312" w:eastAsia="仿宋_GB2312" w:cs="仿宋_GB2312"/>
                <w:sz w:val="30"/>
                <w:szCs w:val="30"/>
              </w:rPr>
              <w:t>李纪明</w:t>
            </w:r>
          </w:p>
        </w:tc>
        <w:tc>
          <w:tcPr>
            <w:tcW w:w="1494" w:type="dxa"/>
            <w:vAlign w:val="center"/>
          </w:tcPr>
          <w:p>
            <w:pPr>
              <w:pStyle w:val="2"/>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性  别</w:t>
            </w:r>
          </w:p>
        </w:tc>
        <w:tc>
          <w:tcPr>
            <w:tcW w:w="999" w:type="dxa"/>
            <w:vAlign w:val="center"/>
          </w:tcPr>
          <w:p>
            <w:pPr>
              <w:pStyle w:val="2"/>
              <w:jc w:val="center"/>
              <w:rPr>
                <w:rFonts w:ascii="仿宋_GB2312" w:hAnsi="仿宋_GB2312" w:eastAsia="仿宋_GB2312" w:cs="仿宋_GB2312"/>
                <w:sz w:val="30"/>
                <w:szCs w:val="30"/>
              </w:rPr>
            </w:pPr>
            <w:r>
              <w:rPr>
                <w:rFonts w:ascii="仿宋_GB2312" w:hAnsi="仿宋_GB2312" w:eastAsia="仿宋_GB2312" w:cs="仿宋_GB2312"/>
                <w:sz w:val="30"/>
                <w:szCs w:val="30"/>
              </w:rPr>
              <w:t>男</w:t>
            </w:r>
          </w:p>
        </w:tc>
        <w:tc>
          <w:tcPr>
            <w:tcW w:w="1507" w:type="dxa"/>
            <w:vAlign w:val="center"/>
          </w:tcPr>
          <w:p>
            <w:pPr>
              <w:pStyle w:val="2"/>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民  族</w:t>
            </w:r>
          </w:p>
        </w:tc>
        <w:tc>
          <w:tcPr>
            <w:tcW w:w="1208" w:type="dxa"/>
            <w:vAlign w:val="center"/>
          </w:tcPr>
          <w:p>
            <w:pPr>
              <w:pStyle w:val="2"/>
              <w:jc w:val="center"/>
              <w:rPr>
                <w:rFonts w:ascii="仿宋_GB2312" w:hAnsi="仿宋_GB2312" w:eastAsia="仿宋_GB2312" w:cs="仿宋_GB2312"/>
                <w:sz w:val="30"/>
                <w:szCs w:val="30"/>
              </w:rPr>
            </w:pPr>
            <w:r>
              <w:rPr>
                <w:rFonts w:ascii="仿宋_GB2312" w:hAnsi="仿宋_GB2312" w:eastAsia="仿宋_GB2312" w:cs="仿宋_GB2312"/>
                <w:sz w:val="30"/>
                <w:szCs w:val="30"/>
              </w:rPr>
              <w:t>汉</w:t>
            </w:r>
          </w:p>
        </w:tc>
        <w:tc>
          <w:tcPr>
            <w:tcW w:w="1753" w:type="dxa"/>
            <w:vMerge w:val="restart"/>
            <w:vAlign w:val="center"/>
          </w:tcPr>
          <w:p>
            <w:pPr>
              <w:pStyle w:val="2"/>
              <w:rPr>
                <w:rFonts w:ascii="仿宋_GB2312" w:hAnsi="仿宋_GB2312" w:eastAsia="仿宋_GB2312" w:cs="仿宋_GB2312"/>
                <w:sz w:val="30"/>
                <w:szCs w:val="30"/>
              </w:rPr>
            </w:pPr>
            <w:r>
              <w:rPr>
                <w:rFonts w:hint="eastAsia" w:ascii="仿宋_GB2312" w:hAnsi="仿宋_GB2312" w:eastAsia="仿宋_GB2312" w:cs="仿宋_GB2312"/>
                <w:sz w:val="30"/>
                <w:szCs w:val="30"/>
              </w:rPr>
              <w:drawing>
                <wp:anchor distT="0" distB="0" distL="114300" distR="114300" simplePos="0" relativeHeight="251660288" behindDoc="0" locked="0" layoutInCell="1" allowOverlap="1">
                  <wp:simplePos x="0" y="0"/>
                  <wp:positionH relativeFrom="margin">
                    <wp:posOffset>-50800</wp:posOffset>
                  </wp:positionH>
                  <wp:positionV relativeFrom="margin">
                    <wp:posOffset>209550</wp:posOffset>
                  </wp:positionV>
                  <wp:extent cx="1082675" cy="1412875"/>
                  <wp:effectExtent l="0" t="0" r="3175" b="15875"/>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4" cstate="print">
                            <a:extLst>
                              <a:ext uri="{28A0092B-C50C-407E-A947-70E740481C1C}">
                                <a14:useLocalDpi xmlns:a14="http://schemas.microsoft.com/office/drawing/2010/main" val="0"/>
                              </a:ext>
                            </a:extLst>
                          </a:blip>
                          <a:stretch>
                            <a:fillRect/>
                          </a:stretch>
                        </pic:blipFill>
                        <pic:spPr>
                          <a:xfrm>
                            <a:off x="0" y="0"/>
                            <a:ext cx="1082675" cy="1412875"/>
                          </a:xfrm>
                          <a:prstGeom prst="rect">
                            <a:avLst/>
                          </a:prstGeom>
                        </pic:spPr>
                      </pic:pic>
                    </a:graphicData>
                  </a:graphic>
                </wp:anchor>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1506" w:type="dxa"/>
            <w:vAlign w:val="center"/>
          </w:tcPr>
          <w:p>
            <w:pPr>
              <w:pStyle w:val="2"/>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出生年月</w:t>
            </w:r>
          </w:p>
        </w:tc>
        <w:tc>
          <w:tcPr>
            <w:tcW w:w="1266" w:type="dxa"/>
            <w:vAlign w:val="center"/>
          </w:tcPr>
          <w:p>
            <w:pPr>
              <w:pStyle w:val="2"/>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1976.01</w:t>
            </w:r>
          </w:p>
        </w:tc>
        <w:tc>
          <w:tcPr>
            <w:tcW w:w="1494" w:type="dxa"/>
            <w:vAlign w:val="center"/>
          </w:tcPr>
          <w:p>
            <w:pPr>
              <w:pStyle w:val="2"/>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文化程</w:t>
            </w:r>
            <w:bookmarkStart w:id="0" w:name="_GoBack"/>
            <w:bookmarkEnd w:id="0"/>
            <w:r>
              <w:rPr>
                <w:rFonts w:hint="eastAsia" w:ascii="仿宋_GB2312" w:hAnsi="仿宋_GB2312" w:eastAsia="仿宋_GB2312" w:cs="仿宋_GB2312"/>
                <w:sz w:val="30"/>
                <w:szCs w:val="30"/>
              </w:rPr>
              <w:t>度</w:t>
            </w:r>
          </w:p>
        </w:tc>
        <w:tc>
          <w:tcPr>
            <w:tcW w:w="999" w:type="dxa"/>
            <w:vAlign w:val="center"/>
          </w:tcPr>
          <w:p>
            <w:pPr>
              <w:pStyle w:val="2"/>
              <w:jc w:val="center"/>
              <w:rPr>
                <w:rFonts w:ascii="仿宋_GB2312" w:hAnsi="仿宋_GB2312" w:eastAsia="仿宋_GB2312" w:cs="仿宋_GB2312"/>
                <w:sz w:val="30"/>
                <w:szCs w:val="30"/>
              </w:rPr>
            </w:pPr>
            <w:r>
              <w:rPr>
                <w:rFonts w:ascii="仿宋_GB2312" w:hAnsi="仿宋_GB2312" w:eastAsia="仿宋_GB2312" w:cs="仿宋_GB2312"/>
                <w:sz w:val="30"/>
                <w:szCs w:val="30"/>
              </w:rPr>
              <w:t>初中</w:t>
            </w:r>
          </w:p>
        </w:tc>
        <w:tc>
          <w:tcPr>
            <w:tcW w:w="1507" w:type="dxa"/>
            <w:vAlign w:val="center"/>
          </w:tcPr>
          <w:p>
            <w:pPr>
              <w:pStyle w:val="2"/>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政治面貌</w:t>
            </w:r>
          </w:p>
        </w:tc>
        <w:tc>
          <w:tcPr>
            <w:tcW w:w="1208" w:type="dxa"/>
            <w:vAlign w:val="center"/>
          </w:tcPr>
          <w:p>
            <w:pPr>
              <w:pStyle w:val="2"/>
              <w:jc w:val="center"/>
              <w:rPr>
                <w:rFonts w:ascii="仿宋_GB2312" w:hAnsi="仿宋_GB2312" w:eastAsia="仿宋_GB2312" w:cs="仿宋_GB2312"/>
                <w:sz w:val="30"/>
                <w:szCs w:val="30"/>
              </w:rPr>
            </w:pPr>
            <w:r>
              <w:rPr>
                <w:rFonts w:ascii="仿宋_GB2312" w:hAnsi="仿宋_GB2312" w:eastAsia="仿宋_GB2312" w:cs="仿宋_GB2312"/>
                <w:sz w:val="30"/>
                <w:szCs w:val="30"/>
              </w:rPr>
              <w:t>群众</w:t>
            </w:r>
          </w:p>
        </w:tc>
        <w:tc>
          <w:tcPr>
            <w:tcW w:w="1753" w:type="dxa"/>
            <w:vMerge w:val="continue"/>
            <w:vAlign w:val="center"/>
          </w:tcPr>
          <w:p>
            <w:pPr>
              <w:pStyle w:val="2"/>
              <w:jc w:val="center"/>
              <w:rPr>
                <w:rFonts w:ascii="仿宋_GB2312" w:hAnsi="仿宋_GB2312" w:eastAsia="仿宋_GB2312" w:cs="仿宋_GB2312"/>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1506" w:type="dxa"/>
            <w:vAlign w:val="center"/>
          </w:tcPr>
          <w:p>
            <w:pPr>
              <w:pStyle w:val="2"/>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户籍地</w:t>
            </w:r>
          </w:p>
        </w:tc>
        <w:tc>
          <w:tcPr>
            <w:tcW w:w="6474" w:type="dxa"/>
            <w:gridSpan w:val="5"/>
            <w:vAlign w:val="center"/>
          </w:tcPr>
          <w:p>
            <w:pPr>
              <w:pStyle w:val="2"/>
              <w:jc w:val="center"/>
              <w:rPr>
                <w:rFonts w:ascii="仿宋_GB2312" w:hAnsi="仿宋_GB2312" w:eastAsia="仿宋_GB2312" w:cs="仿宋_GB2312"/>
                <w:sz w:val="30"/>
                <w:szCs w:val="30"/>
              </w:rPr>
            </w:pPr>
            <w:r>
              <w:rPr>
                <w:rFonts w:ascii="仿宋_GB2312" w:hAnsi="仿宋_GB2312" w:eastAsia="仿宋_GB2312" w:cs="仿宋_GB2312"/>
                <w:sz w:val="30"/>
                <w:szCs w:val="30"/>
              </w:rPr>
              <w:t>山东省日照市东港区南湖镇东马陵前村</w:t>
            </w:r>
            <w:r>
              <w:rPr>
                <w:rFonts w:hint="eastAsia" w:ascii="仿宋_GB2312" w:hAnsi="仿宋_GB2312" w:eastAsia="仿宋_GB2312" w:cs="仿宋_GB2312"/>
                <w:sz w:val="30"/>
                <w:szCs w:val="30"/>
              </w:rPr>
              <w:t>72号</w:t>
            </w:r>
          </w:p>
        </w:tc>
        <w:tc>
          <w:tcPr>
            <w:tcW w:w="1753" w:type="dxa"/>
            <w:vMerge w:val="continue"/>
            <w:vAlign w:val="center"/>
          </w:tcPr>
          <w:p>
            <w:pPr>
              <w:pStyle w:val="2"/>
              <w:jc w:val="center"/>
              <w:rPr>
                <w:rFonts w:ascii="仿宋_GB2312" w:hAnsi="仿宋_GB2312" w:eastAsia="仿宋_GB2312" w:cs="仿宋_GB2312"/>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1506" w:type="dxa"/>
            <w:vAlign w:val="center"/>
          </w:tcPr>
          <w:p>
            <w:pPr>
              <w:pStyle w:val="2"/>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工作单位</w:t>
            </w:r>
          </w:p>
        </w:tc>
        <w:tc>
          <w:tcPr>
            <w:tcW w:w="6474" w:type="dxa"/>
            <w:gridSpan w:val="5"/>
            <w:vAlign w:val="center"/>
          </w:tcPr>
          <w:p>
            <w:pPr>
              <w:pStyle w:val="2"/>
              <w:jc w:val="left"/>
              <w:rPr>
                <w:rFonts w:ascii="仿宋_GB2312" w:hAnsi="仿宋_GB2312" w:eastAsia="仿宋_GB2312" w:cs="仿宋_GB2312"/>
                <w:sz w:val="30"/>
                <w:szCs w:val="30"/>
              </w:rPr>
            </w:pPr>
            <w:r>
              <w:rPr>
                <w:rFonts w:hint="eastAsia" w:ascii="仿宋_GB2312" w:hAnsi="仿宋_GB2312" w:eastAsia="仿宋_GB2312" w:cs="仿宋_GB2312"/>
                <w:sz w:val="30"/>
                <w:szCs w:val="30"/>
              </w:rPr>
              <w:t>山东</w:t>
            </w:r>
            <w:r>
              <w:rPr>
                <w:rFonts w:ascii="仿宋_GB2312" w:hAnsi="仿宋_GB2312" w:eastAsia="仿宋_GB2312" w:cs="仿宋_GB2312"/>
                <w:sz w:val="30"/>
                <w:szCs w:val="30"/>
              </w:rPr>
              <w:t>港湾</w:t>
            </w:r>
            <w:r>
              <w:rPr>
                <w:rFonts w:hint="eastAsia" w:ascii="仿宋_GB2312" w:hAnsi="仿宋_GB2312" w:eastAsia="仿宋_GB2312" w:cs="仿宋_GB2312"/>
                <w:sz w:val="30"/>
                <w:szCs w:val="30"/>
              </w:rPr>
              <w:t>建设</w:t>
            </w:r>
            <w:r>
              <w:rPr>
                <w:rFonts w:ascii="仿宋_GB2312" w:hAnsi="仿宋_GB2312" w:eastAsia="仿宋_GB2312" w:cs="仿宋_GB2312"/>
                <w:sz w:val="30"/>
                <w:szCs w:val="30"/>
              </w:rPr>
              <w:t>集团有限公司</w:t>
            </w:r>
          </w:p>
        </w:tc>
        <w:tc>
          <w:tcPr>
            <w:tcW w:w="1753" w:type="dxa"/>
            <w:vMerge w:val="continue"/>
            <w:vAlign w:val="center"/>
          </w:tcPr>
          <w:p>
            <w:pPr>
              <w:pStyle w:val="2"/>
              <w:jc w:val="center"/>
              <w:rPr>
                <w:rFonts w:ascii="仿宋_GB2312" w:hAnsi="仿宋_GB2312" w:eastAsia="仿宋_GB2312" w:cs="仿宋_GB2312"/>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1506" w:type="dxa"/>
            <w:vAlign w:val="center"/>
          </w:tcPr>
          <w:p>
            <w:pPr>
              <w:pStyle w:val="2"/>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联系电话</w:t>
            </w:r>
          </w:p>
        </w:tc>
        <w:tc>
          <w:tcPr>
            <w:tcW w:w="6474" w:type="dxa"/>
            <w:gridSpan w:val="5"/>
            <w:vAlign w:val="center"/>
          </w:tcPr>
          <w:p>
            <w:pPr>
              <w:pStyle w:val="2"/>
              <w:jc w:val="left"/>
              <w:rPr>
                <w:rFonts w:ascii="仿宋_GB2312" w:hAnsi="仿宋_GB2312" w:eastAsia="仿宋_GB2312" w:cs="仿宋_GB2312"/>
                <w:sz w:val="30"/>
                <w:szCs w:val="30"/>
              </w:rPr>
            </w:pPr>
            <w:r>
              <w:rPr>
                <w:rFonts w:hint="eastAsia" w:ascii="仿宋_GB2312" w:hAnsi="仿宋_GB2312" w:eastAsia="仿宋_GB2312" w:cs="仿宋_GB2312"/>
                <w:sz w:val="30"/>
                <w:szCs w:val="30"/>
              </w:rPr>
              <w:t>18769311660</w:t>
            </w:r>
          </w:p>
        </w:tc>
        <w:tc>
          <w:tcPr>
            <w:tcW w:w="1753" w:type="dxa"/>
            <w:vMerge w:val="continue"/>
            <w:vAlign w:val="center"/>
          </w:tcPr>
          <w:p>
            <w:pPr>
              <w:pStyle w:val="2"/>
              <w:jc w:val="center"/>
              <w:rPr>
                <w:rFonts w:ascii="仿宋_GB2312" w:hAnsi="仿宋_GB2312" w:eastAsia="仿宋_GB2312" w:cs="仿宋_GB2312"/>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1" w:hRule="atLeast"/>
        </w:trPr>
        <w:tc>
          <w:tcPr>
            <w:tcW w:w="1506" w:type="dxa"/>
            <w:vAlign w:val="center"/>
          </w:tcPr>
          <w:p>
            <w:pPr>
              <w:pStyle w:val="2"/>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先进事迹</w:t>
            </w:r>
          </w:p>
          <w:p>
            <w:pPr>
              <w:rPr>
                <w:rFonts w:ascii="仿宋_GB2312" w:hAnsi="仿宋_GB2312" w:eastAsia="仿宋_GB2312" w:cs="仿宋_GB2312"/>
                <w:sz w:val="30"/>
                <w:szCs w:val="30"/>
              </w:rPr>
            </w:pPr>
            <w:r>
              <w:rPr>
                <w:rFonts w:hint="eastAsia" w:ascii="仿宋_GB2312" w:hAnsi="仿宋_GB2312" w:eastAsia="仿宋_GB2312" w:cs="仿宋_GB2312"/>
                <w:sz w:val="30"/>
                <w:szCs w:val="30"/>
              </w:rPr>
              <w:t>（可加页）</w:t>
            </w:r>
          </w:p>
          <w:p>
            <w:pPr>
              <w:rPr>
                <w:rFonts w:ascii="仿宋_GB2312" w:hAnsi="仿宋_GB2312" w:eastAsia="仿宋_GB2312" w:cs="仿宋_GB2312"/>
                <w:sz w:val="30"/>
                <w:szCs w:val="30"/>
              </w:rPr>
            </w:pPr>
          </w:p>
        </w:tc>
        <w:tc>
          <w:tcPr>
            <w:tcW w:w="8227" w:type="dxa"/>
            <w:gridSpan w:val="6"/>
          </w:tcPr>
          <w:p>
            <w:pPr>
              <w:pStyle w:val="2"/>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　　从工地上的砌筑“小工”到砌筑工二级的技术工人，20余年来，李纪明在辛苦单调的工作中不断改进技术、提高工作效率，成为砌筑领域的行家里手。他获得“2011年度山东省技术能手”称号、日照市五一劳动奖章，他凭借“一把准”的绝活连续三届获日照市建筑业职业技能大赛砌筑项目第一名。</w:t>
            </w:r>
          </w:p>
          <w:p>
            <w:pPr>
              <w:pStyle w:val="2"/>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　　李纪明是“70后”，由于家里条件不好，父母希望他能学门手艺，17岁的李纪明就跟着小姑父学砌筑。“砌墙，看起来简单，把墙整齐地砌起来就行了，但砌筑这一行要做好很难。刚开始学的时候下了不少功夫，那时候常常偷看老师傅干活，然后边练习边琢磨方法。”李纪明介绍。由于李纪明勤奋好学，20多天就可以独立干活了。一般来说，手艺功夫学起来并不难，难的是学深学透。取砖、抹灰、摆墙、扶正这些看似简单的动作，技术含量却很高。李纪明在施工中踏实干、用心学，通过不断尝试，总结出了自己的经验。</w:t>
            </w:r>
          </w:p>
          <w:p>
            <w:pPr>
              <w:pStyle w:val="2"/>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　　“想要把活干得又快又好，平时工作中要自己研究‘小窍门’。我的‘小窍门’就是把大拇指当做‘量尺’，在砌筑时为保证每块砖的前后砖缝宽度一样，用大拇指顶住前一块砖，一指肚的距离放下一块砖，一顶一放，活就能干得又快又好。”李纪明介绍。他用“小窍门”练就了“一把准”的功夫，从业20余年，没有一次返工。</w:t>
            </w:r>
          </w:p>
          <w:p>
            <w:pPr>
              <w:pStyle w:val="2"/>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　　李纪明一向对自己要求特别严，他砌的墙，砖面清爽，不沾泥带水，同时他凭借“一把准”的功夫能把砌筑砖块间缝的误差范围降至毫米级别。山东港湾城建工程公司技术质量主管卢峰说。“李师傅就是质量的保证，严格对照砌筑规范和技术交底要求施工，他施工的墙砖灰缝宽度一致，墙面平整光洁，技艺水平在日照砌筑行业内遥遥领先。同时，他参与的砌筑工程施工，如日照港国贸中心工程、北苗家村安置区、威海路社区、城南安置区等分别获得市优质结构工程、山东省优质结构工程等多项荣誉。”</w:t>
            </w:r>
          </w:p>
          <w:p>
            <w:pPr>
              <w:pStyle w:val="2"/>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　　20余年来，李纪明用砖块和小泥刀练就精巧的技艺，成长为砌筑领域的行家里手，不论是精准度、水平垂直程度还是外观美观程度，他都拿捏得恰到好处，同时，他凭借兢兢业业的工作态度和高超的技艺，得到了社会广泛认可。</w:t>
            </w:r>
          </w:p>
          <w:p>
            <w:pPr>
              <w:pStyle w:val="2"/>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　　2011年度山东省技术能手、日照市砌筑一等奖、第四次山东省建筑业技能大赛个人铜奖、日照市技术能手、日照市五一劳动奖章、2014—2018年连续五年荣获山东港湾建设集团砌筑项目比赛一等奖、日照市“锦华杯”建筑业职业技能大赛一等奖、砌筑工一等奖、第四届日照市“技能之星”……在这些成绩和荣誉的背后是李纪明夜以继日的勤学苦练和永不言弃的执着坚守，更是李纪明几十年如一日对工作的精益求精。</w:t>
            </w:r>
          </w:p>
          <w:p>
            <w:pPr>
              <w:pStyle w:val="2"/>
              <w:ind w:firstLine="210" w:firstLineChars="100"/>
              <w:jc w:val="left"/>
              <w:rPr>
                <w:rFonts w:eastAsiaTheme="maj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4" w:hRule="atLeast"/>
        </w:trPr>
        <w:tc>
          <w:tcPr>
            <w:tcW w:w="1506" w:type="dxa"/>
            <w:vAlign w:val="center"/>
          </w:tcPr>
          <w:p>
            <w:pPr>
              <w:pStyle w:val="2"/>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省级评选表彰机构推荐意见</w:t>
            </w:r>
          </w:p>
        </w:tc>
        <w:tc>
          <w:tcPr>
            <w:tcW w:w="8227" w:type="dxa"/>
            <w:gridSpan w:val="6"/>
            <w:vAlign w:val="center"/>
          </w:tcPr>
          <w:p>
            <w:pPr>
              <w:pStyle w:val="2"/>
              <w:jc w:val="center"/>
            </w:pPr>
          </w:p>
          <w:p>
            <w:pPr>
              <w:rPr>
                <w:rFonts w:ascii="仿宋_GB2312" w:hAnsi="仿宋_GB2312" w:eastAsia="仿宋_GB2312" w:cs="仿宋_GB2312"/>
                <w:sz w:val="30"/>
                <w:szCs w:val="30"/>
              </w:rPr>
            </w:pPr>
            <w:r>
              <w:rPr>
                <w:rFonts w:hint="eastAsia"/>
              </w:rPr>
              <w:t xml:space="preserve">        </w:t>
            </w:r>
            <w:r>
              <w:rPr>
                <w:rFonts w:hint="eastAsia" w:ascii="仿宋_GB2312" w:hAnsi="仿宋_GB2312" w:eastAsia="仿宋_GB2312" w:cs="仿宋_GB2312"/>
                <w:sz w:val="30"/>
                <w:szCs w:val="30"/>
              </w:rPr>
              <w:t xml:space="preserve"> </w:t>
            </w:r>
          </w:p>
          <w:p>
            <w:pPr>
              <w:ind w:firstLine="1200" w:firstLineChars="400"/>
              <w:rPr>
                <w:rFonts w:ascii="仿宋_GB2312" w:hAnsi="仿宋_GB2312" w:eastAsia="仿宋_GB2312" w:cs="仿宋_GB2312"/>
                <w:sz w:val="30"/>
                <w:szCs w:val="30"/>
              </w:rPr>
            </w:pPr>
            <w:r>
              <w:rPr>
                <w:rFonts w:hint="eastAsia" w:ascii="仿宋_GB2312" w:hAnsi="仿宋_GB2312" w:eastAsia="仿宋_GB2312" w:cs="仿宋_GB2312"/>
                <w:sz w:val="30"/>
                <w:szCs w:val="30"/>
              </w:rPr>
              <w:t>（省、区、市农民工工作议事协调机构代章）</w:t>
            </w:r>
          </w:p>
          <w:p>
            <w:pPr>
              <w:pStyle w:val="2"/>
            </w:pPr>
            <w:r>
              <w:rPr>
                <w:rFonts w:hint="eastAsia"/>
              </w:rPr>
              <w:t xml:space="preserve">                            </w:t>
            </w:r>
            <w:r>
              <w:rPr>
                <w:rFonts w:hint="eastAsia" w:ascii="仿宋_GB2312" w:hAnsi="仿宋_GB2312" w:eastAsia="仿宋_GB2312" w:cs="仿宋_GB2312"/>
                <w:sz w:val="30"/>
                <w:szCs w:val="30"/>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2" w:hRule="atLeast"/>
        </w:trPr>
        <w:tc>
          <w:tcPr>
            <w:tcW w:w="1506" w:type="dxa"/>
            <w:vAlign w:val="center"/>
          </w:tcPr>
          <w:p>
            <w:pPr>
              <w:pStyle w:val="2"/>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全国评选表彰委员会审核意见</w:t>
            </w:r>
          </w:p>
        </w:tc>
        <w:tc>
          <w:tcPr>
            <w:tcW w:w="8227" w:type="dxa"/>
            <w:gridSpan w:val="6"/>
            <w:vAlign w:val="center"/>
          </w:tcPr>
          <w:p>
            <w:pPr>
              <w:rPr>
                <w:rFonts w:ascii="仿宋_GB2312" w:hAnsi="仿宋_GB2312" w:eastAsia="仿宋_GB2312" w:cs="仿宋_GB2312"/>
                <w:sz w:val="30"/>
                <w:szCs w:val="30"/>
              </w:rPr>
            </w:pPr>
            <w:r>
              <w:rPr>
                <w:rFonts w:hint="eastAsia" w:ascii="仿宋_GB2312" w:hAnsi="仿宋_GB2312" w:eastAsia="仿宋_GB2312" w:cs="仿宋_GB2312"/>
                <w:sz w:val="30"/>
                <w:szCs w:val="30"/>
              </w:rPr>
              <w:t xml:space="preserve">   </w:t>
            </w:r>
          </w:p>
          <w:p>
            <w:pPr>
              <w:ind w:firstLine="1200" w:firstLineChars="400"/>
              <w:rPr>
                <w:rFonts w:ascii="仿宋_GB2312" w:hAnsi="仿宋_GB2312" w:eastAsia="仿宋_GB2312" w:cs="仿宋_GB2312"/>
                <w:sz w:val="30"/>
                <w:szCs w:val="30"/>
              </w:rPr>
            </w:pPr>
            <w:r>
              <w:rPr>
                <w:rFonts w:hint="eastAsia" w:ascii="仿宋_GB2312" w:hAnsi="仿宋_GB2312" w:eastAsia="仿宋_GB2312" w:cs="仿宋_GB2312"/>
                <w:sz w:val="30"/>
                <w:szCs w:val="30"/>
              </w:rPr>
              <w:t>（国务院农民工工作领导小组办公室代章）</w:t>
            </w:r>
          </w:p>
          <w:p>
            <w:pPr>
              <w:pStyle w:val="2"/>
              <w:jc w:val="center"/>
              <w:rPr>
                <w:rFonts w:ascii="仿宋_GB2312" w:hAnsi="仿宋_GB2312" w:eastAsia="仿宋_GB2312" w:cs="仿宋_GB2312"/>
                <w:sz w:val="30"/>
                <w:szCs w:val="30"/>
              </w:rPr>
            </w:pPr>
            <w:r>
              <w:rPr>
                <w:rFonts w:hint="eastAsia"/>
              </w:rPr>
              <w:t xml:space="preserve">                   </w:t>
            </w:r>
            <w:r>
              <w:rPr>
                <w:rFonts w:hint="eastAsia" w:ascii="仿宋_GB2312" w:hAnsi="仿宋_GB2312" w:eastAsia="仿宋_GB2312" w:cs="仿宋_GB2312"/>
                <w:sz w:val="30"/>
                <w:szCs w:val="30"/>
              </w:rPr>
              <w:t xml:space="preserve"> 年         月      日</w:t>
            </w:r>
          </w:p>
        </w:tc>
      </w:tr>
    </w:tbl>
    <w:p>
      <w:pPr>
        <w:pStyle w:val="2"/>
      </w:pPr>
    </w:p>
    <w:sectPr>
      <w:pgSz w:w="11906" w:h="16838"/>
      <w:pgMar w:top="1440" w:right="1587" w:bottom="1440" w:left="158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Arial Unicode MS"/>
    <w:panose1 w:val="02000000000000000000"/>
    <w:charset w:val="86"/>
    <w:family w:val="auto"/>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4"/>
  <w:embedSystemFonts/>
  <w:documentProtection w:enforcement="0"/>
  <w:defaultTabStop w:val="420"/>
  <w:drawingGridVerticalSpacing w:val="159"/>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5D34"/>
    <w:rsid w:val="000E0D12"/>
    <w:rsid w:val="001B6FF1"/>
    <w:rsid w:val="0033757C"/>
    <w:rsid w:val="00400AD5"/>
    <w:rsid w:val="0048139E"/>
    <w:rsid w:val="007A5D34"/>
    <w:rsid w:val="009376C4"/>
    <w:rsid w:val="00AD052B"/>
    <w:rsid w:val="00B47EB6"/>
    <w:rsid w:val="00B762F8"/>
    <w:rsid w:val="00EF33A7"/>
    <w:rsid w:val="02C9722B"/>
    <w:rsid w:val="04DB525F"/>
    <w:rsid w:val="065722D7"/>
    <w:rsid w:val="07F10BBA"/>
    <w:rsid w:val="07F17513"/>
    <w:rsid w:val="092E279E"/>
    <w:rsid w:val="0E222DF3"/>
    <w:rsid w:val="0E552710"/>
    <w:rsid w:val="0EAF21C7"/>
    <w:rsid w:val="11A81B95"/>
    <w:rsid w:val="11F70688"/>
    <w:rsid w:val="14BC3013"/>
    <w:rsid w:val="15314652"/>
    <w:rsid w:val="172D65F9"/>
    <w:rsid w:val="175B7C5C"/>
    <w:rsid w:val="18A6717D"/>
    <w:rsid w:val="1C3276CE"/>
    <w:rsid w:val="1C7958C4"/>
    <w:rsid w:val="1F5D2184"/>
    <w:rsid w:val="2344756C"/>
    <w:rsid w:val="2413693F"/>
    <w:rsid w:val="24A216A6"/>
    <w:rsid w:val="255D7BDB"/>
    <w:rsid w:val="27046C92"/>
    <w:rsid w:val="27493F03"/>
    <w:rsid w:val="27581370"/>
    <w:rsid w:val="2A4E057F"/>
    <w:rsid w:val="2B7164D1"/>
    <w:rsid w:val="2C956AD0"/>
    <w:rsid w:val="2D9E6F01"/>
    <w:rsid w:val="2DF95EFB"/>
    <w:rsid w:val="2E50690A"/>
    <w:rsid w:val="2FA05354"/>
    <w:rsid w:val="33296AFD"/>
    <w:rsid w:val="332A091D"/>
    <w:rsid w:val="349B0F5D"/>
    <w:rsid w:val="36AB673F"/>
    <w:rsid w:val="374E57C8"/>
    <w:rsid w:val="378D6D31"/>
    <w:rsid w:val="398029E4"/>
    <w:rsid w:val="39E06B8E"/>
    <w:rsid w:val="3ACE5F0A"/>
    <w:rsid w:val="3FF82684"/>
    <w:rsid w:val="43BC2D2F"/>
    <w:rsid w:val="440378A4"/>
    <w:rsid w:val="44C531E1"/>
    <w:rsid w:val="45FF7A66"/>
    <w:rsid w:val="4B9F3779"/>
    <w:rsid w:val="4FD8578D"/>
    <w:rsid w:val="514B699A"/>
    <w:rsid w:val="51524FFA"/>
    <w:rsid w:val="51AA348A"/>
    <w:rsid w:val="53A8378D"/>
    <w:rsid w:val="59923F8D"/>
    <w:rsid w:val="599A061A"/>
    <w:rsid w:val="5B1146F6"/>
    <w:rsid w:val="5C07178B"/>
    <w:rsid w:val="5C6E2434"/>
    <w:rsid w:val="5D56062A"/>
    <w:rsid w:val="5D8131F5"/>
    <w:rsid w:val="5FDE0AD6"/>
    <w:rsid w:val="6182338A"/>
    <w:rsid w:val="62F361F2"/>
    <w:rsid w:val="692121AF"/>
    <w:rsid w:val="6AAF1314"/>
    <w:rsid w:val="6D702DEE"/>
    <w:rsid w:val="6F01162E"/>
    <w:rsid w:val="6FDE7D18"/>
    <w:rsid w:val="70F10AD9"/>
    <w:rsid w:val="75D75DE4"/>
    <w:rsid w:val="77A00C75"/>
    <w:rsid w:val="793876EF"/>
    <w:rsid w:val="7CC8446B"/>
    <w:rsid w:val="7E315C19"/>
    <w:rsid w:val="7E4B2F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toc 1"/>
    <w:basedOn w:val="1"/>
    <w:next w:val="1"/>
    <w:qFormat/>
    <w:uiPriority w:val="0"/>
  </w:style>
  <w:style w:type="paragraph" w:styleId="3">
    <w:name w:val="Balloon Text"/>
    <w:basedOn w:val="1"/>
    <w:link w:val="9"/>
    <w:qFormat/>
    <w:uiPriority w:val="0"/>
    <w:rPr>
      <w:sz w:val="18"/>
      <w:szCs w:val="18"/>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9">
    <w:name w:val="批注框文本 Char"/>
    <w:basedOn w:val="8"/>
    <w:link w:val="3"/>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206</Words>
  <Characters>1179</Characters>
  <Lines>9</Lines>
  <Paragraphs>2</Paragraphs>
  <TotalTime>5</TotalTime>
  <ScaleCrop>false</ScaleCrop>
  <LinksUpToDate>false</LinksUpToDate>
  <CharactersWithSpaces>1383</CharactersWithSpaces>
  <Application>WPS Office_11.1.0.10000_F1E327BC-269C-435d-A152-05C5408002CA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dell</dc:creator>
  <cp:lastModifiedBy>xj</cp:lastModifiedBy>
  <cp:lastPrinted>2020-10-13T08:23:06Z</cp:lastPrinted>
  <dcterms:modified xsi:type="dcterms:W3CDTF">2020-10-13T08:23:11Z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2052-11.1.0.10000</vt:lpwstr>
  </property>
</Properties>
</file>